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408" w:lineRule="auto"/>
      </w:pPr>
      <w:r>
        <w:rPr>
          <w:w w:val="110"/>
        </w:rPr>
        <w:t>Tufts Medicine Care at Home IV</w:t>
      </w:r>
      <w:r>
        <w:rPr>
          <w:spacing w:val="-6"/>
          <w:w w:val="110"/>
        </w:rPr>
        <w:t> </w:t>
      </w:r>
      <w:r>
        <w:rPr>
          <w:w w:val="110"/>
        </w:rPr>
        <w:t>Medication</w:t>
      </w:r>
      <w:r>
        <w:rPr>
          <w:spacing w:val="-5"/>
          <w:w w:val="110"/>
        </w:rPr>
        <w:t> </w:t>
      </w:r>
      <w:r>
        <w:rPr>
          <w:w w:val="110"/>
        </w:rPr>
        <w:t>Clinical</w:t>
      </w:r>
      <w:r>
        <w:rPr>
          <w:spacing w:val="-9"/>
          <w:w w:val="110"/>
        </w:rPr>
        <w:t> </w:t>
      </w:r>
      <w:r>
        <w:rPr>
          <w:w w:val="110"/>
        </w:rPr>
        <w:t>Fact</w:t>
      </w:r>
      <w:r>
        <w:rPr>
          <w:spacing w:val="-2"/>
          <w:w w:val="110"/>
        </w:rPr>
        <w:t> </w:t>
      </w:r>
      <w:r>
        <w:rPr>
          <w:spacing w:val="-4"/>
          <w:w w:val="110"/>
        </w:rPr>
        <w:t>Sheet</w:t>
      </w:r>
    </w:p>
    <w:p>
      <w:pPr>
        <w:pStyle w:val="BodyText"/>
        <w:spacing w:before="208"/>
        <w:rPr>
          <w:b/>
          <w:sz w:val="24"/>
        </w:rPr>
      </w:pPr>
    </w:p>
    <w:p>
      <w:pPr>
        <w:tabs>
          <w:tab w:pos="1438" w:val="left" w:leader="none"/>
          <w:tab w:pos="2158" w:val="left" w:leader="none"/>
          <w:tab w:pos="5034" w:val="left" w:leader="none"/>
        </w:tabs>
        <w:spacing w:line="408" w:lineRule="auto" w:before="0"/>
        <w:ind w:left="0" w:right="2854" w:firstLine="0"/>
        <w:jc w:val="left"/>
        <w:rPr>
          <w:sz w:val="24"/>
        </w:rPr>
      </w:pPr>
      <w:r>
        <w:rPr>
          <w:w w:val="105"/>
          <w:sz w:val="24"/>
        </w:rPr>
        <w:t>IV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Medication:</w:t>
      </w:r>
      <w:r>
        <w:rPr>
          <w:sz w:val="24"/>
        </w:rPr>
        <w:tab/>
      </w:r>
      <w:r>
        <w:rPr>
          <w:w w:val="105"/>
          <w:sz w:val="24"/>
          <w:u w:val="single"/>
        </w:rPr>
        <w:t>Erevacycline/Xerava</w:t>
      </w:r>
      <w:r>
        <w:rPr>
          <w:w w:val="105"/>
          <w:sz w:val="24"/>
          <w:u w:val="single"/>
        </w:rPr>
        <w:t> </w:t>
      </w:r>
      <w:r>
        <w:rPr>
          <w:sz w:val="24"/>
          <w:u w:val="none"/>
        </w:rPr>
        <w:tab/>
      </w:r>
      <w:r>
        <w:rPr>
          <w:w w:val="105"/>
          <w:sz w:val="24"/>
          <w:u w:val="none"/>
        </w:rPr>
        <w:t>Risk</w:t>
      </w:r>
      <w:r>
        <w:rPr>
          <w:spacing w:val="-15"/>
          <w:w w:val="105"/>
          <w:sz w:val="24"/>
          <w:u w:val="none"/>
        </w:rPr>
        <w:t> </w:t>
      </w:r>
      <w:r>
        <w:rPr>
          <w:w w:val="105"/>
          <w:sz w:val="24"/>
          <w:u w:val="none"/>
        </w:rPr>
        <w:t>Level:</w:t>
      </w:r>
      <w:r>
        <w:rPr>
          <w:spacing w:val="-14"/>
          <w:w w:val="105"/>
          <w:sz w:val="24"/>
          <w:u w:val="none"/>
        </w:rPr>
        <w:t> </w:t>
      </w:r>
      <w:r>
        <w:rPr>
          <w:w w:val="105"/>
          <w:sz w:val="24"/>
          <w:u w:val="single"/>
        </w:rPr>
        <w:t>n/</w:t>
      </w:r>
      <w:r>
        <w:rPr>
          <w:w w:val="105"/>
          <w:sz w:val="24"/>
          <w:u w:val="single"/>
        </w:rPr>
        <w:t>a</w:t>
      </w:r>
      <w:r>
        <w:rPr>
          <w:w w:val="105"/>
          <w:sz w:val="24"/>
          <w:u w:val="none"/>
        </w:rPr>
        <w:t> Med</w:t>
      </w:r>
      <w:r>
        <w:rPr>
          <w:spacing w:val="-1"/>
          <w:w w:val="105"/>
          <w:sz w:val="24"/>
          <w:u w:val="none"/>
        </w:rPr>
        <w:t> </w:t>
      </w:r>
      <w:r>
        <w:rPr>
          <w:w w:val="105"/>
          <w:sz w:val="24"/>
          <w:u w:val="none"/>
        </w:rPr>
        <w:t>Class:</w:t>
      </w:r>
      <w:r>
        <w:rPr>
          <w:sz w:val="24"/>
          <w:u w:val="none"/>
        </w:rPr>
        <w:tab/>
      </w:r>
      <w:r>
        <w:rPr>
          <w:spacing w:val="-2"/>
          <w:w w:val="105"/>
          <w:sz w:val="24"/>
          <w:u w:val="single"/>
        </w:rPr>
        <w:t>Antibiotics</w:t>
      </w:r>
    </w:p>
    <w:p>
      <w:pPr>
        <w:tabs>
          <w:tab w:pos="719" w:val="left" w:leader="none"/>
        </w:tabs>
        <w:spacing w:line="280" w:lineRule="auto" w:before="4"/>
        <w:ind w:left="720" w:right="3185" w:hanging="720"/>
        <w:jc w:val="left"/>
        <w:rPr>
          <w:sz w:val="16"/>
        </w:rPr>
      </w:pPr>
      <w:r>
        <w:rPr>
          <w:spacing w:val="-4"/>
          <w:w w:val="105"/>
          <w:sz w:val="16"/>
        </w:rPr>
        <w:t>Note:</w:t>
      </w:r>
      <w:r>
        <w:rPr>
          <w:sz w:val="16"/>
        </w:rPr>
        <w:tab/>
      </w:r>
      <w:r>
        <w:rPr>
          <w:w w:val="105"/>
          <w:sz w:val="16"/>
        </w:rPr>
        <w:t>All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antibiotics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carry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risk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hypersensitivity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reaction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at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any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time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during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treatment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Superinfections are possible with all antibiotics</w:t>
      </w:r>
    </w:p>
    <w:p>
      <w:pPr>
        <w:pStyle w:val="BodyText"/>
        <w:rPr>
          <w:sz w:val="16"/>
        </w:rPr>
      </w:pPr>
    </w:p>
    <w:p>
      <w:pPr>
        <w:pStyle w:val="BodyText"/>
        <w:spacing w:before="55"/>
        <w:rPr>
          <w:sz w:val="16"/>
        </w:rPr>
      </w:pPr>
    </w:p>
    <w:p>
      <w:pPr>
        <w:tabs>
          <w:tab w:pos="3597" w:val="left" w:leader="none"/>
        </w:tabs>
        <w:spacing w:before="1"/>
        <w:ind w:left="0" w:right="0" w:firstLine="0"/>
        <w:jc w:val="left"/>
        <w:rPr>
          <w:sz w:val="22"/>
        </w:rPr>
      </w:pPr>
      <w:r>
        <w:rPr>
          <w:w w:val="105"/>
          <w:sz w:val="22"/>
        </w:rPr>
        <w:t>Common</w:t>
      </w:r>
      <w:r>
        <w:rPr>
          <w:spacing w:val="18"/>
          <w:w w:val="110"/>
          <w:sz w:val="22"/>
        </w:rPr>
        <w:t> </w:t>
      </w:r>
      <w:r>
        <w:rPr>
          <w:spacing w:val="-2"/>
          <w:w w:val="110"/>
          <w:sz w:val="22"/>
        </w:rPr>
        <w:t>Uses:</w:t>
      </w:r>
      <w:r>
        <w:rPr>
          <w:sz w:val="22"/>
        </w:rPr>
        <w:tab/>
      </w:r>
      <w:r>
        <w:rPr>
          <w:w w:val="105"/>
          <w:sz w:val="22"/>
        </w:rPr>
        <w:t>Bacterial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Infection;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complicated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intra-abdominal</w:t>
      </w:r>
      <w:r>
        <w:rPr>
          <w:spacing w:val="6"/>
          <w:w w:val="105"/>
          <w:sz w:val="22"/>
        </w:rPr>
        <w:t> </w:t>
      </w:r>
      <w:r>
        <w:rPr>
          <w:spacing w:val="-2"/>
          <w:w w:val="105"/>
          <w:sz w:val="22"/>
        </w:rPr>
        <w:t>infections</w:t>
      </w:r>
    </w:p>
    <w:p>
      <w:pPr>
        <w:tabs>
          <w:tab w:pos="3599" w:val="left" w:leader="none"/>
        </w:tabs>
        <w:spacing w:before="204"/>
        <w:ind w:left="0" w:right="0" w:firstLine="0"/>
        <w:jc w:val="left"/>
        <w:rPr>
          <w:sz w:val="22"/>
        </w:rPr>
      </w:pPr>
      <w:r>
        <w:rPr>
          <w:w w:val="110"/>
          <w:sz w:val="22"/>
        </w:rPr>
        <w:t>Labs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to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Monitor:</w:t>
      </w:r>
      <w:r>
        <w:rPr>
          <w:sz w:val="22"/>
        </w:rPr>
        <w:tab/>
      </w:r>
      <w:r>
        <w:rPr>
          <w:spacing w:val="-2"/>
          <w:w w:val="115"/>
          <w:sz w:val="22"/>
        </w:rPr>
        <w:t>BMP,</w:t>
      </w:r>
      <w:r>
        <w:rPr>
          <w:spacing w:val="-10"/>
          <w:w w:val="115"/>
          <w:sz w:val="22"/>
        </w:rPr>
        <w:t> </w:t>
      </w:r>
      <w:r>
        <w:rPr>
          <w:spacing w:val="-2"/>
          <w:w w:val="115"/>
          <w:sz w:val="22"/>
        </w:rPr>
        <w:t>CBC</w:t>
      </w:r>
      <w:r>
        <w:rPr>
          <w:spacing w:val="-11"/>
          <w:w w:val="115"/>
          <w:sz w:val="22"/>
        </w:rPr>
        <w:t> </w:t>
      </w:r>
      <w:r>
        <w:rPr>
          <w:spacing w:val="-2"/>
          <w:w w:val="115"/>
          <w:sz w:val="22"/>
        </w:rPr>
        <w:t>ċ</w:t>
      </w:r>
      <w:r>
        <w:rPr>
          <w:spacing w:val="-9"/>
          <w:w w:val="115"/>
          <w:sz w:val="22"/>
        </w:rPr>
        <w:t> </w:t>
      </w:r>
      <w:r>
        <w:rPr>
          <w:spacing w:val="-2"/>
          <w:w w:val="115"/>
          <w:sz w:val="22"/>
        </w:rPr>
        <w:t>dif,</w:t>
      </w:r>
      <w:r>
        <w:rPr>
          <w:spacing w:val="-9"/>
          <w:w w:val="115"/>
          <w:sz w:val="22"/>
        </w:rPr>
        <w:t> </w:t>
      </w:r>
      <w:r>
        <w:rPr>
          <w:spacing w:val="-4"/>
          <w:w w:val="115"/>
          <w:sz w:val="22"/>
        </w:rPr>
        <w:t>LFTs</w:t>
      </w:r>
    </w:p>
    <w:p>
      <w:pPr>
        <w:tabs>
          <w:tab w:pos="3598" w:val="left" w:leader="none"/>
        </w:tabs>
        <w:spacing w:before="202"/>
        <w:ind w:left="0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Instructions/Precautions:</w:t>
      </w:r>
      <w:r>
        <w:rPr>
          <w:sz w:val="22"/>
        </w:rPr>
        <w:tab/>
      </w:r>
      <w:r>
        <w:rPr>
          <w:w w:val="105"/>
          <w:sz w:val="22"/>
        </w:rPr>
        <w:t>Do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Not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Use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if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history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tetracycline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allergy—discontinue</w:t>
      </w:r>
      <w:r>
        <w:rPr>
          <w:spacing w:val="-6"/>
          <w:w w:val="105"/>
          <w:sz w:val="22"/>
        </w:rPr>
        <w:t> </w:t>
      </w:r>
      <w:r>
        <w:rPr>
          <w:spacing w:val="-5"/>
          <w:w w:val="105"/>
          <w:sz w:val="22"/>
        </w:rPr>
        <w:t>use</w:t>
      </w:r>
    </w:p>
    <w:p>
      <w:pPr>
        <w:spacing w:before="43"/>
        <w:ind w:left="0" w:right="527" w:firstLine="0"/>
        <w:jc w:val="center"/>
        <w:rPr>
          <w:sz w:val="24"/>
        </w:rPr>
      </w:pPr>
      <w:r>
        <w:rPr>
          <w:sz w:val="22"/>
        </w:rPr>
        <w:t>when</w:t>
      </w:r>
      <w:r>
        <w:rPr>
          <w:spacing w:val="7"/>
          <w:w w:val="110"/>
          <w:sz w:val="22"/>
        </w:rPr>
        <w:t> </w:t>
      </w:r>
      <w:r>
        <w:rPr>
          <w:spacing w:val="-2"/>
          <w:w w:val="110"/>
          <w:sz w:val="22"/>
        </w:rPr>
        <w:t>suspected</w:t>
      </w:r>
      <w:r>
        <w:rPr>
          <w:spacing w:val="-2"/>
          <w:w w:val="110"/>
          <w:sz w:val="24"/>
        </w:rPr>
        <w:t>.</w:t>
      </w:r>
    </w:p>
    <w:p>
      <w:pPr>
        <w:spacing w:before="207"/>
        <w:ind w:left="720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2839211</wp:posOffset>
                </wp:positionH>
                <wp:positionV relativeFrom="paragraph">
                  <wp:posOffset>197202</wp:posOffset>
                </wp:positionV>
                <wp:extent cx="536575" cy="7747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36575" cy="77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15"/>
                            </w:tblGrid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7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24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7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24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7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24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715" w:type="dxa"/>
                                </w:tcPr>
                                <w:p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24"/>
                                    </w:rPr>
                                    <w:t>N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3.559998pt;margin-top:15.52773pt;width:42.25pt;height:61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15"/>
                      </w:tblGrid>
                      <w:tr>
                        <w:trPr>
                          <w:trHeight w:val="292" w:hRule="atLeast"/>
                        </w:trPr>
                        <w:tc>
                          <w:tcPr>
                            <w:tcW w:w="715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4"/>
                              </w:rPr>
                              <w:t>N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715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4"/>
                              </w:rPr>
                              <w:t>N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715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4"/>
                              </w:rPr>
                              <w:t>N</w:t>
                            </w:r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715" w:type="dxa"/>
                          </w:tcPr>
                          <w:p>
                            <w:pPr>
                              <w:pStyle w:val="TableParagraph"/>
                              <w:spacing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4"/>
                              </w:rPr>
                              <w:t>N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</w:rPr>
        <w:t>First</w:t>
      </w:r>
      <w:r>
        <w:rPr>
          <w:spacing w:val="27"/>
          <w:sz w:val="24"/>
        </w:rPr>
        <w:t> </w:t>
      </w:r>
      <w:r>
        <w:rPr>
          <w:sz w:val="24"/>
        </w:rPr>
        <w:t>Dose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Allowed:</w:t>
      </w:r>
    </w:p>
    <w:p>
      <w:pPr>
        <w:spacing w:before="45"/>
        <w:ind w:left="720" w:right="0" w:firstLine="0"/>
        <w:jc w:val="left"/>
        <w:rPr>
          <w:sz w:val="24"/>
        </w:rPr>
      </w:pPr>
      <w:r>
        <w:rPr>
          <w:w w:val="105"/>
          <w:sz w:val="24"/>
        </w:rPr>
        <w:t>Central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Line</w:t>
      </w:r>
      <w:r>
        <w:rPr>
          <w:spacing w:val="6"/>
          <w:w w:val="105"/>
          <w:sz w:val="24"/>
        </w:rPr>
        <w:t> </w:t>
      </w:r>
      <w:r>
        <w:rPr>
          <w:spacing w:val="-2"/>
          <w:w w:val="105"/>
          <w:sz w:val="24"/>
        </w:rPr>
        <w:t>Only:</w:t>
      </w:r>
    </w:p>
    <w:p>
      <w:pPr>
        <w:spacing w:before="45"/>
        <w:ind w:left="720" w:right="0" w:firstLine="0"/>
        <w:jc w:val="left"/>
        <w:rPr>
          <w:sz w:val="24"/>
        </w:rPr>
      </w:pPr>
      <w:r>
        <w:rPr>
          <w:w w:val="105"/>
          <w:sz w:val="24"/>
        </w:rPr>
        <w:t>IV</w:t>
      </w:r>
      <w:r>
        <w:rPr>
          <w:spacing w:val="-16"/>
          <w:w w:val="105"/>
          <w:sz w:val="24"/>
        </w:rPr>
        <w:t> </w:t>
      </w:r>
      <w:r>
        <w:rPr>
          <w:spacing w:val="-2"/>
          <w:w w:val="105"/>
          <w:sz w:val="24"/>
        </w:rPr>
        <w:t>Push:</w:t>
      </w:r>
    </w:p>
    <w:p>
      <w:pPr>
        <w:spacing w:before="48"/>
        <w:ind w:left="720" w:right="0" w:firstLine="0"/>
        <w:jc w:val="left"/>
        <w:rPr>
          <w:sz w:val="24"/>
        </w:rPr>
      </w:pPr>
      <w:r>
        <w:rPr>
          <w:spacing w:val="-2"/>
          <w:w w:val="110"/>
          <w:sz w:val="24"/>
        </w:rPr>
        <w:t>Vesicant:</w:t>
      </w:r>
    </w:p>
    <w:p>
      <w:pPr>
        <w:pStyle w:val="BodyText"/>
        <w:spacing w:before="93"/>
        <w:rPr>
          <w:sz w:val="24"/>
        </w:rPr>
      </w:pPr>
    </w:p>
    <w:p>
      <w:pPr>
        <w:pStyle w:val="BodyText"/>
        <w:spacing w:line="434" w:lineRule="auto"/>
        <w:ind w:right="6538"/>
      </w:pPr>
      <w:r>
        <w:rPr>
          <w:w w:val="105"/>
        </w:rPr>
        <w:t>See</w:t>
      </w:r>
      <w:r>
        <w:rPr>
          <w:spacing w:val="-12"/>
          <w:w w:val="105"/>
        </w:rPr>
        <w:t> </w:t>
      </w:r>
      <w:r>
        <w:rPr>
          <w:w w:val="105"/>
        </w:rPr>
        <w:t>Procedure</w:t>
      </w:r>
      <w:r>
        <w:rPr>
          <w:spacing w:val="-12"/>
          <w:w w:val="105"/>
        </w:rPr>
        <w:t> </w:t>
      </w:r>
      <w:r>
        <w:rPr>
          <w:w w:val="105"/>
        </w:rPr>
        <w:t>Manual:</w:t>
      </w:r>
      <w:r>
        <w:rPr>
          <w:spacing w:val="-12"/>
          <w:w w:val="105"/>
        </w:rPr>
        <w:t> </w:t>
      </w:r>
      <w:r>
        <w:rPr>
          <w:w w:val="105"/>
        </w:rPr>
        <w:t>n/a </w:t>
      </w:r>
      <w:r>
        <w:rPr>
          <w:spacing w:val="-2"/>
          <w:w w:val="105"/>
        </w:rPr>
        <w:t>Notes: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6" w:after="0"/>
        <w:ind w:left="719" w:right="0" w:hanging="359"/>
        <w:jc w:val="left"/>
        <w:rPr>
          <w:sz w:val="20"/>
        </w:rPr>
      </w:pPr>
      <w:r>
        <w:rPr>
          <w:w w:val="105"/>
          <w:sz w:val="20"/>
        </w:rPr>
        <w:t>Erevacycline/Xerava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may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administered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through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dedicated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IV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line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Y-</w:t>
      </w:r>
      <w:r>
        <w:rPr>
          <w:spacing w:val="-2"/>
          <w:w w:val="105"/>
          <w:sz w:val="20"/>
        </w:rPr>
        <w:t>site.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3" w:lineRule="auto" w:before="201" w:after="0"/>
        <w:ind w:left="720" w:right="778" w:hanging="360"/>
        <w:jc w:val="left"/>
        <w:rPr>
          <w:sz w:val="20"/>
        </w:rPr>
      </w:pPr>
      <w:r>
        <w:rPr>
          <w:w w:val="105"/>
          <w:sz w:val="20"/>
        </w:rPr>
        <w:t>If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same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line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used for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other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medications,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it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must be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ﬂushed with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0.9%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Sodium Chloride Injection, USP before and after the infusion.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172" w:after="0"/>
        <w:ind w:left="720" w:right="480" w:hanging="360"/>
        <w:jc w:val="both"/>
        <w:rPr>
          <w:sz w:val="20"/>
        </w:rPr>
      </w:pPr>
      <w:r>
        <w:rPr>
          <w:w w:val="105"/>
          <w:sz w:val="20"/>
        </w:rPr>
        <w:t>Eravacycline/Xerava can cause infusion-site reactions such as pain, tenderness, phlebitis, and thrombophlebitis.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These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reactions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can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minimized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by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infusing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solution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over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full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hour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(as recommended)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and,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if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needed,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decreasing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infusion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rate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concentration.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new access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site should be established if serious reactions occur.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3" w:lineRule="auto" w:before="169" w:after="0"/>
        <w:ind w:left="720" w:right="78" w:hanging="360"/>
        <w:jc w:val="left"/>
        <w:rPr>
          <w:sz w:val="20"/>
        </w:rPr>
      </w:pPr>
      <w:r>
        <w:rPr>
          <w:w w:val="105"/>
          <w:sz w:val="20"/>
        </w:rPr>
        <w:t>Eravacycline/Xerava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tetracycline-class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antibacterial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should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not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mixed with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other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drugs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or added to solutions containing other drugs.</w:t>
      </w:r>
    </w:p>
    <w:p>
      <w:pPr>
        <w:pStyle w:val="BodyText"/>
      </w:pPr>
    </w:p>
    <w:p>
      <w:pPr>
        <w:pStyle w:val="BodyText"/>
        <w:spacing w:before="123"/>
      </w:pPr>
    </w:p>
    <w:p>
      <w:pPr>
        <w:spacing w:line="280" w:lineRule="auto" w:before="1"/>
        <w:ind w:left="1440" w:right="1433" w:firstLine="0"/>
        <w:jc w:val="left"/>
        <w:rPr>
          <w:sz w:val="16"/>
        </w:rPr>
      </w:pPr>
      <w:r>
        <w:rPr>
          <w:sz w:val="16"/>
        </w:rPr>
        <w:t>Only</w:t>
      </w:r>
      <w:r>
        <w:rPr>
          <w:spacing w:val="15"/>
          <w:sz w:val="16"/>
        </w:rPr>
        <w:t> </w:t>
      </w:r>
      <w:r>
        <w:rPr>
          <w:sz w:val="16"/>
        </w:rPr>
        <w:t>drugs</w:t>
      </w:r>
      <w:r>
        <w:rPr>
          <w:spacing w:val="19"/>
          <w:sz w:val="16"/>
        </w:rPr>
        <w:t> </w:t>
      </w:r>
      <w:r>
        <w:rPr>
          <w:sz w:val="16"/>
        </w:rPr>
        <w:t>listed as First Dose Allowed may be given in the home as a ﬁrst dose and are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considered</w:t>
      </w:r>
      <w:r>
        <w:rPr>
          <w:spacing w:val="-2"/>
          <w:w w:val="110"/>
          <w:sz w:val="16"/>
        </w:rPr>
        <w:t> </w:t>
      </w:r>
      <w:r>
        <w:rPr>
          <w:w w:val="110"/>
          <w:sz w:val="16"/>
        </w:rPr>
        <w:t>for</w:t>
      </w:r>
      <w:r>
        <w:rPr>
          <w:spacing w:val="-6"/>
          <w:w w:val="110"/>
          <w:sz w:val="16"/>
        </w:rPr>
        <w:t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> </w:t>
      </w:r>
      <w:r>
        <w:rPr>
          <w:w w:val="110"/>
          <w:sz w:val="16"/>
        </w:rPr>
        <w:t>ﬁrst</w:t>
      </w:r>
      <w:r>
        <w:rPr>
          <w:spacing w:val="-6"/>
          <w:w w:val="110"/>
          <w:sz w:val="16"/>
        </w:rPr>
        <w:t> </w:t>
      </w:r>
      <w:r>
        <w:rPr>
          <w:w w:val="110"/>
          <w:sz w:val="16"/>
        </w:rPr>
        <w:t>dose</w:t>
      </w:r>
      <w:r>
        <w:rPr>
          <w:spacing w:val="-5"/>
          <w:w w:val="110"/>
          <w:sz w:val="16"/>
        </w:rPr>
        <w:t> </w:t>
      </w:r>
      <w:r>
        <w:rPr>
          <w:w w:val="110"/>
          <w:sz w:val="16"/>
        </w:rPr>
        <w:t>on</w:t>
      </w:r>
      <w:r>
        <w:rPr>
          <w:spacing w:val="-7"/>
          <w:w w:val="110"/>
          <w:sz w:val="16"/>
        </w:rPr>
        <w:t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> </w:t>
      </w:r>
      <w:r>
        <w:rPr>
          <w:w w:val="110"/>
          <w:sz w:val="16"/>
        </w:rPr>
        <w:t>case</w:t>
      </w:r>
      <w:r>
        <w:rPr>
          <w:spacing w:val="-5"/>
          <w:w w:val="110"/>
          <w:sz w:val="16"/>
        </w:rPr>
        <w:t> </w:t>
      </w:r>
      <w:r>
        <w:rPr>
          <w:w w:val="110"/>
          <w:sz w:val="16"/>
        </w:rPr>
        <w:t>by</w:t>
      </w:r>
      <w:r>
        <w:rPr>
          <w:spacing w:val="-4"/>
          <w:w w:val="110"/>
          <w:sz w:val="16"/>
        </w:rPr>
        <w:t> </w:t>
      </w:r>
      <w:r>
        <w:rPr>
          <w:w w:val="110"/>
          <w:sz w:val="16"/>
        </w:rPr>
        <w:t>case</w:t>
      </w:r>
      <w:r>
        <w:rPr>
          <w:spacing w:val="-5"/>
          <w:w w:val="110"/>
          <w:sz w:val="16"/>
        </w:rPr>
        <w:t> </w:t>
      </w:r>
      <w:r>
        <w:rPr>
          <w:w w:val="110"/>
          <w:sz w:val="16"/>
        </w:rPr>
        <w:t>basis</w:t>
      </w:r>
      <w:r>
        <w:rPr>
          <w:spacing w:val="-5"/>
          <w:w w:val="110"/>
          <w:sz w:val="16"/>
        </w:rPr>
        <w:t> </w:t>
      </w:r>
      <w:r>
        <w:rPr>
          <w:w w:val="110"/>
          <w:sz w:val="16"/>
        </w:rPr>
        <w:t>by</w:t>
      </w:r>
      <w:r>
        <w:rPr>
          <w:spacing w:val="-4"/>
          <w:w w:val="110"/>
          <w:sz w:val="16"/>
        </w:rPr>
        <w:t> </w:t>
      </w:r>
      <w:r>
        <w:rPr>
          <w:w w:val="110"/>
          <w:sz w:val="16"/>
        </w:rPr>
        <w:t>the</w:t>
      </w:r>
      <w:r>
        <w:rPr>
          <w:spacing w:val="-5"/>
          <w:w w:val="110"/>
          <w:sz w:val="16"/>
        </w:rPr>
        <w:t> </w:t>
      </w:r>
      <w:r>
        <w:rPr>
          <w:w w:val="110"/>
          <w:sz w:val="16"/>
        </w:rPr>
        <w:t>Manager</w:t>
      </w:r>
    </w:p>
    <w:p>
      <w:pPr>
        <w:spacing w:line="278" w:lineRule="auto" w:before="0"/>
        <w:ind w:left="1440" w:right="1433" w:firstLine="0"/>
        <w:jc w:val="left"/>
        <w:rPr>
          <w:sz w:val="16"/>
        </w:rPr>
      </w:pPr>
      <w:r>
        <w:rPr>
          <w:sz w:val="16"/>
        </w:rPr>
        <w:t>The Manager and/or Clinical Director must be</w:t>
      </w:r>
      <w:r>
        <w:rPr>
          <w:spacing w:val="20"/>
          <w:sz w:val="16"/>
        </w:rPr>
        <w:t> </w:t>
      </w:r>
      <w:r>
        <w:rPr>
          <w:sz w:val="16"/>
        </w:rPr>
        <w:t>consulted</w:t>
      </w:r>
      <w:r>
        <w:rPr>
          <w:spacing w:val="20"/>
          <w:sz w:val="16"/>
        </w:rPr>
        <w:t> </w:t>
      </w:r>
      <w:r>
        <w:rPr>
          <w:sz w:val="16"/>
        </w:rPr>
        <w:t>before a</w:t>
      </w:r>
      <w:r>
        <w:rPr>
          <w:spacing w:val="22"/>
          <w:sz w:val="16"/>
        </w:rPr>
        <w:t> </w:t>
      </w:r>
      <w:r>
        <w:rPr>
          <w:sz w:val="16"/>
        </w:rPr>
        <w:t>ﬁrst dose referral is</w:t>
      </w:r>
      <w:r>
        <w:rPr>
          <w:spacing w:val="23"/>
          <w:sz w:val="16"/>
        </w:rPr>
        <w:t> </w:t>
      </w:r>
      <w:r>
        <w:rPr>
          <w:sz w:val="16"/>
        </w:rPr>
        <w:t>accepted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Risk</w:t>
      </w:r>
      <w:r>
        <w:rPr>
          <w:spacing w:val="-10"/>
          <w:w w:val="110"/>
          <w:sz w:val="16"/>
        </w:rPr>
        <w:t> </w:t>
      </w:r>
      <w:r>
        <w:rPr>
          <w:w w:val="110"/>
          <w:sz w:val="16"/>
        </w:rPr>
        <w:t>Levels:</w:t>
      </w:r>
      <w:r>
        <w:rPr>
          <w:spacing w:val="-10"/>
          <w:w w:val="110"/>
          <w:sz w:val="16"/>
        </w:rPr>
        <w:t> </w:t>
      </w:r>
      <w:r>
        <w:rPr>
          <w:w w:val="110"/>
          <w:sz w:val="16"/>
        </w:rPr>
        <w:t>n/a</w:t>
      </w:r>
      <w:r>
        <w:rPr>
          <w:spacing w:val="-10"/>
          <w:w w:val="110"/>
          <w:sz w:val="16"/>
        </w:rPr>
        <w:t> </w:t>
      </w:r>
      <w:r>
        <w:rPr>
          <w:w w:val="110"/>
          <w:sz w:val="16"/>
        </w:rPr>
        <w:t>=</w:t>
      </w:r>
      <w:r>
        <w:rPr>
          <w:spacing w:val="-10"/>
          <w:w w:val="110"/>
          <w:sz w:val="16"/>
        </w:rPr>
        <w:t> </w:t>
      </w:r>
      <w:r>
        <w:rPr>
          <w:w w:val="110"/>
          <w:sz w:val="16"/>
        </w:rPr>
        <w:t>Routinely</w:t>
      </w:r>
      <w:r>
        <w:rPr>
          <w:spacing w:val="-10"/>
          <w:w w:val="110"/>
          <w:sz w:val="16"/>
        </w:rPr>
        <w:t> </w:t>
      </w:r>
      <w:r>
        <w:rPr>
          <w:w w:val="110"/>
          <w:sz w:val="16"/>
        </w:rPr>
        <w:t>given;</w:t>
      </w:r>
      <w:r>
        <w:rPr>
          <w:spacing w:val="-10"/>
          <w:w w:val="110"/>
          <w:sz w:val="16"/>
        </w:rPr>
        <w:t> </w:t>
      </w:r>
      <w:r>
        <w:rPr>
          <w:w w:val="110"/>
          <w:sz w:val="16"/>
        </w:rPr>
        <w:t>Clinician</w:t>
      </w:r>
      <w:r>
        <w:rPr>
          <w:spacing w:val="-10"/>
          <w:w w:val="110"/>
          <w:sz w:val="16"/>
        </w:rPr>
        <w:t> </w:t>
      </w:r>
      <w:r>
        <w:rPr>
          <w:w w:val="110"/>
          <w:sz w:val="16"/>
        </w:rPr>
        <w:t>must</w:t>
      </w:r>
      <w:r>
        <w:rPr>
          <w:spacing w:val="-10"/>
          <w:w w:val="110"/>
          <w:sz w:val="16"/>
        </w:rPr>
        <w:t> </w:t>
      </w:r>
      <w:r>
        <w:rPr>
          <w:w w:val="110"/>
          <w:sz w:val="16"/>
        </w:rPr>
        <w:t>be</w:t>
      </w:r>
      <w:r>
        <w:rPr>
          <w:spacing w:val="-10"/>
          <w:w w:val="110"/>
          <w:sz w:val="16"/>
        </w:rPr>
        <w:t> </w:t>
      </w:r>
      <w:r>
        <w:rPr>
          <w:w w:val="110"/>
          <w:sz w:val="16"/>
        </w:rPr>
        <w:t>approved</w:t>
      </w:r>
      <w:r>
        <w:rPr>
          <w:spacing w:val="-10"/>
          <w:w w:val="110"/>
          <w:sz w:val="16"/>
        </w:rPr>
        <w:t> </w:t>
      </w:r>
      <w:r>
        <w:rPr>
          <w:w w:val="110"/>
          <w:sz w:val="16"/>
        </w:rPr>
        <w:t>to</w:t>
      </w:r>
      <w:r>
        <w:rPr>
          <w:spacing w:val="-10"/>
          <w:w w:val="110"/>
          <w:sz w:val="16"/>
        </w:rPr>
        <w:t> </w:t>
      </w:r>
      <w:r>
        <w:rPr>
          <w:w w:val="110"/>
          <w:sz w:val="16"/>
        </w:rPr>
        <w:t>administer</w:t>
      </w:r>
      <w:r>
        <w:rPr>
          <w:spacing w:val="-10"/>
          <w:w w:val="110"/>
          <w:sz w:val="16"/>
        </w:rPr>
        <w:t> </w:t>
      </w:r>
      <w:r>
        <w:rPr>
          <w:w w:val="110"/>
          <w:sz w:val="16"/>
        </w:rPr>
        <w:t>IV</w:t>
      </w:r>
      <w:r>
        <w:rPr>
          <w:spacing w:val="-10"/>
          <w:w w:val="110"/>
          <w:sz w:val="16"/>
        </w:rPr>
        <w:t> </w:t>
      </w:r>
      <w:r>
        <w:rPr>
          <w:w w:val="110"/>
          <w:sz w:val="16"/>
        </w:rPr>
        <w:t>medications</w:t>
      </w:r>
    </w:p>
    <w:p>
      <w:pPr>
        <w:spacing w:line="280" w:lineRule="auto" w:before="0"/>
        <w:ind w:left="1440" w:right="3464" w:firstLine="0"/>
        <w:jc w:val="left"/>
        <w:rPr>
          <w:sz w:val="16"/>
        </w:rPr>
      </w:pPr>
      <w:r>
        <w:rPr>
          <w:w w:val="105"/>
          <w:sz w:val="16"/>
        </w:rPr>
        <w:t>1= Mgr. or Clinical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Director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approval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before referral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is accepted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2=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Mgr. notiﬁcation: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Clinicians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must review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Special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Instructions</w:t>
      </w:r>
    </w:p>
    <w:sectPr>
      <w:type w:val="continuous"/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7"/>
      <w:ind w:left="2887" w:right="2857" w:firstLine="223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"/>
      <w:ind w:left="72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72" w:lineRule="exact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Burkarth, Bernice</dc:creator>
  <dc:title>Microsoft Word - Document9</dc:title>
  <dcterms:created xsi:type="dcterms:W3CDTF">2026-01-19T18:40:33Z</dcterms:created>
  <dcterms:modified xsi:type="dcterms:W3CDTF">2026-01-19T18:40:33Z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LastSaved">
    <vt:filetime>2026-01-19T00:00:00Z</vt:filetime>
  </property>
  <property fmtid="{D5CDD505-2E9C-101B-9397-08002B2CF9AE}" pid="4" name="Producer">
    <vt:lpwstr>Microsoft: Print To PDF</vt:lpwstr>
  </property>
</Properties>
</file>